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4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3"/>
        <w:gridCol w:w="1410"/>
        <w:gridCol w:w="8985"/>
        <w:gridCol w:w="1380"/>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4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楷体" w:hAnsi="楷体" w:eastAsia="楷体" w:cs="楷体"/>
                <w:b/>
                <w:bCs/>
                <w:i w:val="0"/>
                <w:iCs w:val="0"/>
                <w:color w:val="000000"/>
                <w:sz w:val="24"/>
                <w:szCs w:val="24"/>
                <w:u w:val="none"/>
              </w:rPr>
            </w:pPr>
            <w:commentRangeStart w:id="0"/>
            <w:r>
              <w:rPr>
                <w:rFonts w:hint="eastAsia" w:ascii="楷体" w:hAnsi="楷体" w:eastAsia="楷体" w:cs="楷体"/>
                <w:b/>
                <w:bCs/>
                <w:i w:val="0"/>
                <w:iCs w:val="0"/>
                <w:color w:val="000000"/>
                <w:kern w:val="0"/>
                <w:sz w:val="24"/>
                <w:szCs w:val="24"/>
                <w:u w:val="none"/>
                <w:lang w:val="en-US" w:eastAsia="zh-CN" w:bidi="ar"/>
              </w:rPr>
              <w:t>经亨颐教育学院发展对象答辩考核评分标准</w:t>
            </w:r>
            <w:commentRangeEnd w:id="0"/>
            <w:r>
              <w:rPr>
                <w:sz w:val="21"/>
                <w:szCs w:val="24"/>
              </w:rPr>
              <w:commentReference w:id="0"/>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3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考核内容</w:t>
            </w:r>
          </w:p>
        </w:tc>
        <w:tc>
          <w:tcPr>
            <w:tcW w:w="141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考核形式</w:t>
            </w:r>
          </w:p>
        </w:tc>
        <w:tc>
          <w:tcPr>
            <w:tcW w:w="89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考核标准</w:t>
            </w:r>
          </w:p>
        </w:tc>
        <w:tc>
          <w:tcPr>
            <w:tcW w:w="138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自我评定</w:t>
            </w:r>
          </w:p>
        </w:tc>
        <w:tc>
          <w:tcPr>
            <w:tcW w:w="130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考核评分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3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党性修养</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 答辩考核（满分10分）</w:t>
            </w:r>
          </w:p>
        </w:tc>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入党动机端正，思想积极进步，注重政治理论学习，关心时政新闻；完成入党积极分子培训班学习，考核合格；团结同学，乐于助人，党性修养高。</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3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理论水平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量化考核（满分10分）</w:t>
            </w:r>
          </w:p>
        </w:tc>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commentRangeStart w:id="1"/>
            <w:r>
              <w:rPr>
                <w:rFonts w:hint="eastAsia" w:ascii="楷体" w:hAnsi="楷体" w:eastAsia="楷体" w:cs="楷体"/>
                <w:i w:val="0"/>
                <w:iCs w:val="0"/>
                <w:color w:val="000000"/>
                <w:kern w:val="0"/>
                <w:sz w:val="24"/>
                <w:szCs w:val="24"/>
                <w:u w:val="none"/>
                <w:lang w:val="en-US" w:eastAsia="zh-CN" w:bidi="ar"/>
              </w:rPr>
              <w:t>自被确定为入党积极分子以来（最近一年），学习强国累计分数[1.5万分，+∞）得分10分；[1.5万-1万）得分6分；[1万-6000）得分3分。</w:t>
            </w:r>
            <w:commentRangeEnd w:id="1"/>
            <w:r>
              <w:commentReference w:id="1"/>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33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宗旨意识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答辩考核（满分10分）</w:t>
            </w:r>
          </w:p>
        </w:tc>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具有奉献精神，主动承担社会工作，参加各类公益活动，积极为同学服务，工作能力突出，受到师生好评。</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楷体" w:hAnsi="楷体" w:eastAsia="楷体" w:cs="楷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133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量化考核（满分20分）</w:t>
            </w:r>
          </w:p>
        </w:tc>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自被确定为入党积极分子以来（最近一年），担任以下职务并考核结果为良好及以上，可累加。1.市级及以上学生干部，每项8分；2.校院级学生组织负责人，每项6分；3.校院级学生干部（含班长、团支书、学习委员），每项4分；4.校院级学生干事（含其他班委），每项2分。获评校级优秀学生干部、优秀团干部等可再加2分。本项最多加10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楷体" w:hAnsi="楷体" w:eastAsia="楷体" w:cs="楷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33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自被确定为入党积极分子以来（最近一年），主动参与各类社会实践和公益活动。社会实践：参与校级社会实践立项，得5分；院级社会实践立项3分。公益小时：[50，+∞）得分5分；[40-50）得分4分；[30-40）得分3分；[20-30）得分2分；[15-20)得分1分。本项最多加10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楷体" w:hAnsi="楷体" w:eastAsia="楷体" w:cs="楷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群众基础</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量化考核（满分10分）</w:t>
            </w:r>
          </w:p>
        </w:tc>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commentRangeStart w:id="2"/>
            <w:r>
              <w:rPr>
                <w:rFonts w:hint="eastAsia" w:ascii="楷体" w:hAnsi="楷体" w:eastAsia="楷体" w:cs="楷体"/>
                <w:i w:val="0"/>
                <w:iCs w:val="0"/>
                <w:color w:val="000000"/>
                <w:kern w:val="0"/>
                <w:sz w:val="24"/>
                <w:szCs w:val="24"/>
                <w:u w:val="none"/>
                <w:lang w:val="en-US" w:eastAsia="zh-CN" w:bidi="ar"/>
              </w:rPr>
              <w:t xml:space="preserve">人际关系融洽，群众基础良好。由班委组织班级同学就是否同意入党积极分子确定为发展对象进行投票，（同意票数/参与投票人数）*10=该部分得分。   </w:t>
            </w:r>
            <w:commentRangeEnd w:id="2"/>
            <w:r>
              <w:rPr>
                <w:sz w:val="21"/>
                <w:szCs w:val="24"/>
              </w:rPr>
              <w:commentReference w:id="2"/>
            </w:r>
            <w:r>
              <w:rPr>
                <w:rFonts w:hint="eastAsia" w:ascii="楷体" w:hAnsi="楷体" w:eastAsia="楷体" w:cs="楷体"/>
                <w:i w:val="0"/>
                <w:iCs w:val="0"/>
                <w:color w:val="000000"/>
                <w:kern w:val="0"/>
                <w:sz w:val="24"/>
                <w:szCs w:val="24"/>
                <w:u w:val="none"/>
                <w:lang w:val="en-US" w:eastAsia="zh-CN" w:bidi="ar"/>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楷体" w:hAnsi="楷体" w:eastAsia="楷体" w:cs="楷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模范带头作用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答辩考核（满分10分）</w:t>
            </w:r>
          </w:p>
        </w:tc>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学习成绩优异，科研能力较强，积极参加校内外文体活动，具有相关特长，综合表现优异，并积极发挥模范带头作用，引领同学成长。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楷体" w:hAnsi="楷体" w:eastAsia="楷体" w:cs="楷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141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量化考核（满分20分） </w:t>
            </w:r>
          </w:p>
        </w:tc>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学业水平1.重点考察期（发展答辩前一学期）平均学分绩点总分5分；2.重点考察期（发展答辩前一学期）专业排名5分。标准如下：</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绩点： [4.3-4.5]得5分；[4.1-4.3)得4分；[3.9-4.1)得3分；[3.7-3.9)得2分；[3.5-3.7)得1分。排名：[10%-)得5分；[20%-10%)得4分；[30%-20%)得3分；[40%-30%)得2分；[50%-40%)得1分；大三因专业人数原因，排名四舍五入进50%的得1分。本部分最多加10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楷体" w:hAnsi="楷体" w:eastAsia="楷体" w:cs="楷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科研竞赛1.国家级及以上，最高奖项5分；2.省级，最高奖项4分；3.市级，最高项3分；4.校级，最高奖项2分；5.院级，最高奖项1分。第二等奖项得分*90%；第三等奖项得分*80%；依次递减。学术论文：一级期刊得8分/篇；二级期刊得5分/篇；其他期刊2分/篇。文体类获奖可参照科研竞赛明细进行加分，可累加。本部分最多加10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楷体" w:hAnsi="楷体" w:eastAsia="楷体" w:cs="楷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综合素质问答</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答辩考核（满分10分） </w:t>
            </w:r>
          </w:p>
        </w:tc>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根据综合素质问答情况评分。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楷体" w:hAnsi="楷体" w:eastAsia="楷体" w:cs="楷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44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毛先森" w:date="2022-03-28T15:43:17Z" w:initials="">
    <w:p w14:paraId="38070C15">
      <w:pPr>
        <w:pStyle w:val="2"/>
        <w:rPr>
          <w:rFonts w:hint="eastAsia" w:ascii="楷体" w:hAnsi="楷体" w:eastAsia="楷体" w:cs="楷体"/>
          <w:color w:val="FF0000"/>
          <w:sz w:val="30"/>
          <w:szCs w:val="30"/>
          <w:lang w:val="en-US" w:eastAsia="zh-CN"/>
        </w:rPr>
      </w:pPr>
      <w:r>
        <w:rPr>
          <w:rFonts w:hint="eastAsia" w:ascii="楷体" w:hAnsi="楷体" w:eastAsia="楷体" w:cs="楷体"/>
          <w:color w:val="FF0000"/>
          <w:sz w:val="30"/>
          <w:szCs w:val="30"/>
          <w:lang w:val="en-US" w:eastAsia="zh-CN"/>
        </w:rPr>
        <w:t>发展考核的总分不得低于60分，低于60分不得发展。此标准只是参照，各支部在答辩的过程中会根据支部建设的要求和品牌化建设的需要，设定其他标准。</w:t>
      </w:r>
    </w:p>
  </w:comment>
  <w:comment w:id="1" w:author="毛先森" w:date="2022-03-28T15:46:04Z" w:initials="">
    <w:p w14:paraId="0633773B">
      <w:pPr>
        <w:pStyle w:val="2"/>
        <w:rPr>
          <w:rFonts w:hint="default"/>
          <w:color w:val="FF0000"/>
          <w:sz w:val="30"/>
          <w:szCs w:val="30"/>
          <w:vertAlign w:val="baseline"/>
          <w:lang w:val="en-US"/>
        </w:rPr>
      </w:pPr>
      <w:r>
        <w:rPr>
          <w:rFonts w:hint="eastAsia" w:ascii="楷体" w:hAnsi="楷体" w:eastAsia="楷体" w:cs="楷体"/>
          <w:i w:val="0"/>
          <w:iCs w:val="0"/>
          <w:color w:val="FF0000"/>
          <w:kern w:val="0"/>
          <w:sz w:val="30"/>
          <w:szCs w:val="30"/>
          <w:u w:val="none"/>
          <w:vertAlign w:val="baseline"/>
          <w:lang w:val="en-US" w:eastAsia="zh-CN" w:bidi="ar"/>
        </w:rPr>
        <w:t>学习强国拟发展前一年不得低于6000分，否则将不能发展（春季学期为前一年的年度积分，秋季学期为本年度的年度积分）。如学习强国总分8000分则不予发展。</w:t>
      </w:r>
    </w:p>
  </w:comment>
  <w:comment w:id="2" w:author="毛先森" w:date="2022-03-28T15:44:38Z" w:initials="">
    <w:p w14:paraId="251F7282">
      <w:pPr>
        <w:pStyle w:val="2"/>
        <w:rPr>
          <w:sz w:val="30"/>
          <w:szCs w:val="30"/>
        </w:rPr>
      </w:pPr>
      <w:r>
        <w:rPr>
          <w:rStyle w:val="5"/>
          <w:sz w:val="30"/>
          <w:szCs w:val="30"/>
          <w:lang w:val="en-US" w:eastAsia="zh-CN" w:bidi="ar"/>
        </w:rPr>
        <w:t>如发现有拉票等行为，本部分考核0分。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8070C15" w15:done="0"/>
  <w15:commentEx w15:paraId="0633773B" w15:done="0"/>
  <w15:commentEx w15:paraId="251F728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毛先森">
    <w15:presenceInfo w15:providerId="WPS Office" w15:userId="2082067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NjY3MDA4YzJkYmFhZmE3MzcyNDZjODFlZjdhOGIifQ=="/>
  </w:docVars>
  <w:rsids>
    <w:rsidRoot w:val="1DF0546E"/>
    <w:rsid w:val="18C34481"/>
    <w:rsid w:val="1DF0546E"/>
    <w:rsid w:val="20A9257B"/>
    <w:rsid w:val="26111C19"/>
    <w:rsid w:val="45D30C02"/>
    <w:rsid w:val="493A3B00"/>
    <w:rsid w:val="4963508B"/>
    <w:rsid w:val="4A404AE6"/>
    <w:rsid w:val="77B6457B"/>
    <w:rsid w:val="7D59225B"/>
    <w:rsid w:val="7DFA0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customStyle="1" w:styleId="5">
    <w:name w:val="font01"/>
    <w:basedOn w:val="4"/>
    <w:qFormat/>
    <w:uiPriority w:val="0"/>
    <w:rPr>
      <w:rFonts w:hint="eastAsia" w:ascii="楷体" w:hAnsi="楷体" w:eastAsia="楷体" w:cs="楷体"/>
      <w:color w:val="FF0000"/>
      <w:sz w:val="32"/>
      <w:szCs w:val="32"/>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2022-03-28T07:29:00Z</dcterms:created>
  <dc:creator>毛先森</dc:creator>
  <cp:lastModifiedBy>超人不会飞</cp:lastModifiedBy>
  <cp:lastPrinted>2022-03-28T08:02:00Z</cp:lastPrinted>
  <dcterms:modified xsi:type="dcterms:W3CDTF">2023-03-06T06:34:57Z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058ED3B7B90B40AE9B9BE868DD5751A6</vt:lpwstr>
  </property>
</Properties>
</file>